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DB1" w:rsidRPr="00AA2DB1" w:rsidRDefault="00AA2DB1" w:rsidP="00AA2DB1">
      <w:pPr>
        <w:autoSpaceDE w:val="0"/>
        <w:autoSpaceDN w:val="0"/>
        <w:adjustRightInd w:val="0"/>
        <w:spacing w:before="240" w:after="0" w:line="240" w:lineRule="auto"/>
        <w:jc w:val="center"/>
        <w:rPr>
          <w:rFonts w:ascii="A" w:hAnsi="A" w:cs="A"/>
          <w:sz w:val="20"/>
          <w:szCs w:val="20"/>
        </w:rPr>
      </w:pPr>
      <w:r w:rsidRPr="00AA2DB1">
        <w:rPr>
          <w:rFonts w:ascii="A" w:hAnsi="A" w:cs="A"/>
          <w:b/>
          <w:bCs/>
          <w:sz w:val="20"/>
          <w:szCs w:val="20"/>
        </w:rPr>
        <w:t>Rozdział 7</w:t>
      </w:r>
    </w:p>
    <w:p w:rsidR="00AA2DB1" w:rsidRPr="00AA2DB1" w:rsidRDefault="00AA2DB1" w:rsidP="00AA2DB1">
      <w:pPr>
        <w:autoSpaceDE w:val="0"/>
        <w:autoSpaceDN w:val="0"/>
        <w:adjustRightInd w:val="0"/>
        <w:spacing w:before="240" w:after="0" w:line="240" w:lineRule="auto"/>
        <w:jc w:val="center"/>
        <w:rPr>
          <w:rFonts w:ascii="A" w:hAnsi="A" w:cs="A"/>
          <w:sz w:val="20"/>
          <w:szCs w:val="20"/>
        </w:rPr>
      </w:pPr>
      <w:r w:rsidRPr="00AA2DB1">
        <w:rPr>
          <w:rFonts w:ascii="A" w:hAnsi="A" w:cs="A"/>
          <w:b/>
          <w:bCs/>
          <w:sz w:val="20"/>
          <w:szCs w:val="20"/>
        </w:rPr>
        <w:t>Ławnicy</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158.</w:t>
      </w:r>
      <w:r w:rsidRPr="00AA2DB1">
        <w:rPr>
          <w:rFonts w:ascii="A" w:hAnsi="A" w:cs="A"/>
          <w:sz w:val="20"/>
          <w:szCs w:val="20"/>
        </w:rPr>
        <w:t> § 1. Ławnikiem może być wybrany ten, kto:</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1)</w:t>
      </w:r>
      <w:r w:rsidRPr="00AA2DB1">
        <w:rPr>
          <w:rFonts w:ascii="A" w:hAnsi="A" w:cs="A"/>
          <w:sz w:val="20"/>
          <w:szCs w:val="20"/>
        </w:rPr>
        <w:tab/>
        <w:t>posiada obywatelstwo polskie i korzysta z pełni praw cywilnych i obywatelskich;</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2)</w:t>
      </w:r>
      <w:r w:rsidRPr="00AA2DB1">
        <w:rPr>
          <w:rFonts w:ascii="A" w:hAnsi="A" w:cs="A"/>
          <w:sz w:val="20"/>
          <w:szCs w:val="20"/>
        </w:rPr>
        <w:tab/>
        <w:t>jest nieskazitelnego charakteru;</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3)</w:t>
      </w:r>
      <w:r w:rsidRPr="00AA2DB1">
        <w:rPr>
          <w:rFonts w:ascii="A" w:hAnsi="A" w:cs="A"/>
          <w:sz w:val="20"/>
          <w:szCs w:val="20"/>
        </w:rPr>
        <w:tab/>
        <w:t>ukończył 30 lat;</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4)</w:t>
      </w:r>
      <w:r w:rsidRPr="00AA2DB1">
        <w:rPr>
          <w:rFonts w:ascii="A" w:hAnsi="A" w:cs="A"/>
          <w:sz w:val="20"/>
          <w:szCs w:val="20"/>
        </w:rPr>
        <w:tab/>
        <w:t>jest zatrudniony, prowadzi działalność gospodarczą lub mieszka w miejscu kandydowania co najmniej od roku;</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5)</w:t>
      </w:r>
      <w:r w:rsidRPr="00AA2DB1">
        <w:rPr>
          <w:rFonts w:ascii="A" w:hAnsi="A" w:cs="A"/>
          <w:sz w:val="20"/>
          <w:szCs w:val="20"/>
        </w:rPr>
        <w:tab/>
        <w:t>nie przekroczył 70 lat;</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6)</w:t>
      </w:r>
      <w:r w:rsidRPr="00AA2DB1">
        <w:rPr>
          <w:rFonts w:ascii="A" w:hAnsi="A" w:cs="A"/>
          <w:sz w:val="20"/>
          <w:szCs w:val="20"/>
        </w:rPr>
        <w:tab/>
        <w:t>jest zdolny, ze względu na stan zdrowia, do pełnienia obowiązków ławnika;</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7)</w:t>
      </w:r>
      <w:r w:rsidRPr="00AA2DB1">
        <w:rPr>
          <w:rFonts w:ascii="A" w:hAnsi="A" w:cs="A"/>
          <w:sz w:val="20"/>
          <w:szCs w:val="20"/>
        </w:rPr>
        <w:tab/>
        <w:t>posiada co najmniej wykształcenie średnie.</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(uchylony)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Do orzekania w sprawach z zakresu prawa pracy ławnikiem powinna być wybrana osoba wykazująca szczególną znajomość spraw pracowniczych.</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administracji</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159.</w:t>
      </w:r>
      <w:r w:rsidRPr="00AA2DB1">
        <w:rPr>
          <w:rFonts w:ascii="A" w:hAnsi="A" w:cs="A"/>
          <w:sz w:val="20"/>
          <w:szCs w:val="20"/>
        </w:rPr>
        <w:t> § 1. Ławnikami nie mogą być:</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1)</w:t>
      </w:r>
      <w:r w:rsidRPr="00AA2DB1">
        <w:rPr>
          <w:rFonts w:ascii="A" w:hAnsi="A" w:cs="A"/>
          <w:sz w:val="20"/>
          <w:szCs w:val="20"/>
        </w:rPr>
        <w:tab/>
        <w:t>osoby zatrudnione w sądach powszechnych i innych sądach oraz w prokuraturze;</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2)</w:t>
      </w:r>
      <w:r w:rsidRPr="00AA2DB1">
        <w:rPr>
          <w:rFonts w:ascii="A" w:hAnsi="A" w:cs="A"/>
          <w:sz w:val="20"/>
          <w:szCs w:val="20"/>
        </w:rPr>
        <w:tab/>
        <w:t>osoby wchodzące w skład organów, od których orzeczenia można żądać skierowania sprawy na drogę postępowania sądowego;</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3)</w:t>
      </w:r>
      <w:r w:rsidRPr="00AA2DB1">
        <w:rPr>
          <w:rFonts w:ascii="A" w:hAnsi="A" w:cs="A"/>
          <w:sz w:val="20"/>
          <w:szCs w:val="20"/>
        </w:rPr>
        <w:tab/>
        <w:t>funkcjonariusze Policji oraz inne osoby zajmujące stanowiska związane ze ściganiem przestępstw i wykroczeń;</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4)</w:t>
      </w:r>
      <w:r w:rsidRPr="00AA2DB1">
        <w:rPr>
          <w:rFonts w:ascii="A" w:hAnsi="A" w:cs="A"/>
          <w:sz w:val="20"/>
          <w:szCs w:val="20"/>
        </w:rPr>
        <w:tab/>
        <w:t>adwokaci i aplikanci adwokaccy;</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5)</w:t>
      </w:r>
      <w:r w:rsidRPr="00AA2DB1">
        <w:rPr>
          <w:rFonts w:ascii="A" w:hAnsi="A" w:cs="A"/>
          <w:sz w:val="20"/>
          <w:szCs w:val="20"/>
        </w:rPr>
        <w:tab/>
        <w:t>radcy prawni i aplikanci radcowscy;</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6)</w:t>
      </w:r>
      <w:r w:rsidRPr="00AA2DB1">
        <w:rPr>
          <w:rFonts w:ascii="A" w:hAnsi="A" w:cs="A"/>
          <w:sz w:val="20"/>
          <w:szCs w:val="20"/>
        </w:rPr>
        <w:tab/>
        <w:t>duchowni;</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7)</w:t>
      </w:r>
      <w:r w:rsidRPr="00AA2DB1">
        <w:rPr>
          <w:rFonts w:ascii="A" w:hAnsi="A" w:cs="A"/>
          <w:sz w:val="20"/>
          <w:szCs w:val="20"/>
        </w:rPr>
        <w:tab/>
        <w:t>żołnierze w czynnej służbie wojskowej;</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8)</w:t>
      </w:r>
      <w:r w:rsidRPr="00AA2DB1">
        <w:rPr>
          <w:rFonts w:ascii="A" w:hAnsi="A" w:cs="A"/>
          <w:sz w:val="20"/>
          <w:szCs w:val="20"/>
        </w:rPr>
        <w:tab/>
        <w:t>funkcjonariusze Służby Więziennej;</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9)</w:t>
      </w:r>
      <w:r w:rsidRPr="00AA2DB1">
        <w:rPr>
          <w:rFonts w:ascii="A" w:hAnsi="A" w:cs="A"/>
          <w:sz w:val="20"/>
          <w:szCs w:val="20"/>
        </w:rPr>
        <w:tab/>
        <w:t>radni gminy, powiatu i województwa.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Nie można być ławnikiem jednocześnie w więcej niż jednym sądzie.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administracji</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160.</w:t>
      </w:r>
      <w:r w:rsidRPr="00AA2DB1">
        <w:rPr>
          <w:rFonts w:ascii="A" w:hAnsi="A" w:cs="A"/>
          <w:sz w:val="20"/>
          <w:szCs w:val="20"/>
        </w:rPr>
        <w:t> § 1. Ławników do sądów okręgowych oraz do sądów rejonowych wybierają rady gmin, których obszar jest objęty właściwością tych sądów - w głosowaniu tajnym.</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Wybory przygotowują gminy jako zadanie zlecone z zakresu administracji rządowej.</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administracji</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wzory i zestawienia</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161.</w:t>
      </w:r>
      <w:r w:rsidRPr="00AA2DB1">
        <w:rPr>
          <w:rFonts w:ascii="A" w:hAnsi="A" w:cs="A"/>
          <w:sz w:val="20"/>
          <w:szCs w:val="20"/>
        </w:rPr>
        <w:t> § 1. Liczbę ławników wybieranych przez poszczególne rady gmin do wszystkich sądów działających na obszarze właściwości sądu okręgowego, w tym także liczbę ławników do orzekania w sprawach z zakresu prawa pracy, ustala kolegium sądu okręgowego; liczbę ławników do poszczególnych sądów rejonowych ustala się po zasięgnięciu opinii prezesów tych sądów.</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lastRenderedPageBreak/>
        <w:t>§ 2. Prezes sądu okręgowego podaje liczbę ławników do wiadomości poszczególnym radom gmin najpóźniej na trzydzieści dni przed upływem terminu zgłaszania kandydatów.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162.</w:t>
      </w:r>
      <w:r w:rsidRPr="00AA2DB1">
        <w:rPr>
          <w:rFonts w:ascii="A" w:hAnsi="A" w:cs="A"/>
          <w:sz w:val="20"/>
          <w:szCs w:val="20"/>
        </w:rPr>
        <w:t> § 1. Kandydatów na ławników mogą zgłaszać radom gmin prezesi właściwych sądów, stowarzyszenia, inne organizacje społeczne i zawodowe, zarejestrowane na podstawie przepisów prawa, z wyłączeniem partii politycznych, oraz co najmniej pięćdziesięciu obywateli mających czynne prawo wyborcze, zamieszkujących stale na terenie gminy dokonującej wyboru, w terminie do dnia 30 czerwca ostatniego roku kadencji.</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Do zgłoszenia kandydata na ławnika dokonanego na karcie zgłoszenia dołącza się następujące dokumenty:</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1)</w:t>
      </w:r>
      <w:r w:rsidRPr="00AA2DB1">
        <w:rPr>
          <w:rFonts w:ascii="A" w:hAnsi="A" w:cs="A"/>
          <w:sz w:val="20"/>
          <w:szCs w:val="20"/>
        </w:rPr>
        <w:tab/>
        <w:t>informację z Krajowego Rejestru Karnego dotyczącą zgłaszanej osoby;</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2)</w:t>
      </w:r>
      <w:r w:rsidRPr="00AA2DB1">
        <w:rPr>
          <w:rFonts w:ascii="A" w:hAnsi="A" w:cs="A"/>
          <w:sz w:val="20"/>
          <w:szCs w:val="20"/>
        </w:rPr>
        <w:tab/>
        <w:t>oświadczenie kandydata, że nie jest prowadzone przeciwko niemu postępowanie o przestępstwo ścigane z oskarżenia publicznego lub przestępstwo skarbowe;</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3)</w:t>
      </w:r>
      <w:r w:rsidRPr="00AA2DB1">
        <w:rPr>
          <w:rFonts w:ascii="A" w:hAnsi="A" w:cs="A"/>
          <w:sz w:val="20"/>
          <w:szCs w:val="20"/>
        </w:rPr>
        <w:tab/>
        <w:t>oświadczenie kandydata, że nie jest lub nie był pozbawiony władzy rodzicielskiej, a także, że władza rodzicielska nie została mu ograniczona ani zawieszona;</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4)</w:t>
      </w:r>
      <w:r w:rsidRPr="00AA2DB1">
        <w:rPr>
          <w:rFonts w:ascii="A" w:hAnsi="A" w:cs="A"/>
          <w:sz w:val="20"/>
          <w:szCs w:val="20"/>
        </w:rPr>
        <w:tab/>
        <w:t xml:space="preserve">zaświadczenie lekarskie o stanie zdrowia, wystawione przez lekarza, o którym mowa w art. 55 ust. 2a ustawy z dnia 27 sierpnia 2004 r. o świadczeniach opieki zdrowotnej finansowanych ze środków publicznych (Dz. U. z 2008 r. Nr 164, poz. 1027, z </w:t>
      </w:r>
      <w:proofErr w:type="spellStart"/>
      <w:r w:rsidRPr="00AA2DB1">
        <w:rPr>
          <w:rFonts w:ascii="A" w:hAnsi="A" w:cs="A"/>
          <w:sz w:val="20"/>
          <w:szCs w:val="20"/>
        </w:rPr>
        <w:t>późn</w:t>
      </w:r>
      <w:proofErr w:type="spellEnd"/>
      <w:r w:rsidRPr="00AA2DB1">
        <w:rPr>
          <w:rFonts w:ascii="A" w:hAnsi="A" w:cs="A"/>
          <w:sz w:val="20"/>
          <w:szCs w:val="20"/>
        </w:rPr>
        <w:t>. zm.), stwierdzające brak przeciwwskazań do wykonywania funkcji ławnika;</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5)</w:t>
      </w:r>
      <w:r w:rsidRPr="00AA2DB1">
        <w:rPr>
          <w:rFonts w:ascii="A" w:hAnsi="A" w:cs="A"/>
          <w:sz w:val="20"/>
          <w:szCs w:val="20"/>
        </w:rPr>
        <w:tab/>
        <w:t>dwa zdjęcia zgodne z wymogami stosowanymi przy składaniu wniosku o wydanie dowodu osobistego.</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Do zgłoszenia kandydata na ławnika dokonanego na karcie zgłoszenia przez stowarzyszenie, inną organizację społeczną lub zawodową, zarejestrowaną na podstawie przepisów prawa, dołącza się również aktualny odpis z Krajowego Rejestru Sądowego albo odpis lub zaświadczenie potwierdzające wpis do innego właściwego rejestru lub ewidencji dotyczące tej organizacji.</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4. Do zgłoszenia kandydata na ławnika dokonanego na karcie zgłoszenia przez obywateli dołącza się również listę osób zawierającą imię (imiona), nazwisko, numer ewidencyjny PESEL, miejsce stałego zamieszkania i własnoręczny podpis każdej z pięćdziesięciu osób zgłaszających kandydata.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5. Dokumenty wymienione w § 2 pkt 1-4 powinny być opatrzone datą nie wcześniejszą niż trzydzieści dni przed dniem zgłoszenia, a dokumenty wymienione w § 3 nie wcześniejszą niż trzy miesiące przed dniem zgłoszenia.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6. Osobą uprawnioną do składania wyjaśnień w sprawie zgłoszenia kandydata na ławnika przez obywateli jest osoba, której nazwisko zostało umieszczone jako pierwsze na liście, o której mowa w § 4.</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7. Koszt opłaty za wydanie informacji z Krajowego Rejestru Karnego oraz opłaty za badanie lekarskie i za wystawienie zaświadczenia lekarskiego ponosi kandydat na ławnika.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8. Koszt opłaty za wydanie aktualnego odpisu z Krajowego Rejestru Sądowego albo odpisu lub zaświadczenia z innego właściwego rejestru lub ewidencji ponosi podmiot, którego dotyczy odpis lub zaświadczenie.</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9. Rady gmin zasięgają od komendanta wojewódzkiego Policji albo Komendanta Stołecznego Policji informacji o kandydatach na ławników. Informacje o kandydacie na ławnika uzyskuje się i sporządza na zasadach określonych dla informacji o kandydacie do objęcia stanowiska sędziowskiego.</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10. Zgłoszenia kandydatów, które wpłynęły do rady gminy po upływie terminu, o którym mowa w § 1, a także zgłoszenia, które nie spełniają wymagań formalnych, o których mowa w § 2-5, pozostawia się bez dalszego biegu. Przywrócenie terminu do zgłoszenia kandydatów jest niedopuszczalne. Pozostawienie zgłoszenia bez dalszego biegu rada gminy stwierdza w drodze uchwały.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11. Minister Sprawiedliwości, po zasięgnięciu opinii Krajowej Rady Sądownictwa, określi, w drodze rozporządzenia, sposób postępowania z dokumentami złożonymi radom gmin przy zgłaszaniu kandydatów na ławników, wzór karty zgłoszenia oraz sposób jego udostępniania, mając na uwadze potrzebę udokumentowania przez podmioty zgłaszające spełnianie przez kandydatów na ławników wymogów określonych w ustawie, a także zapewnienia wyboru kandydatów o najwyższych walorach etycznych i intelektualnych, umożliwienia rzetelnej weryfikacji zgłoszeń i przejrzystości działań związanych ze zgłaszaniem kandydatów na ławników, a przez określenie wzoru karty zgłoszenia i sposobu jego udostępniania - potrzebę ujednolicenia procedury zgłaszania, ułatwienia dostępu do wzoru i rozpatrywania zgłoszeń.</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lastRenderedPageBreak/>
        <w:t xml:space="preserve">akty wykonawcze z </w:t>
      </w:r>
      <w:proofErr w:type="spellStart"/>
      <w:r w:rsidRPr="00AA2DB1">
        <w:rPr>
          <w:rFonts w:ascii="A" w:hAnsi="A" w:cs="A"/>
          <w:sz w:val="20"/>
          <w:szCs w:val="20"/>
        </w:rPr>
        <w:t>Dz.U</w:t>
      </w:r>
      <w:proofErr w:type="spellEnd"/>
      <w:r w:rsidRPr="00AA2DB1">
        <w:rPr>
          <w:rFonts w:ascii="A" w:hAnsi="A" w:cs="A"/>
          <w:sz w:val="20"/>
          <w:szCs w:val="20"/>
        </w:rPr>
        <w:t>. i M.P.</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projekty ustaw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wzory i zestawienia</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163.</w:t>
      </w:r>
      <w:r w:rsidRPr="00AA2DB1">
        <w:rPr>
          <w:rFonts w:ascii="A" w:hAnsi="A" w:cs="A"/>
          <w:sz w:val="20"/>
          <w:szCs w:val="20"/>
        </w:rPr>
        <w:t> § 1. Wybory ławników odbywają się najpóźniej w październiku roku kalendarzowego, w którym upływa kadencja dotychczasowych ławników.</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Przed przystąpieniem do wyborów rada gminy powołuje zespół, który przedstawia na sesji rady gminy swoją opinię o zgłoszonych kandydatach, w szczególności w zakresie spełnienia przez nich wymogów określonych w ustawie.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wzory i zestawienia</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164.</w:t>
      </w:r>
      <w:r w:rsidRPr="00AA2DB1">
        <w:rPr>
          <w:rFonts w:ascii="A" w:hAnsi="A" w:cs="A"/>
          <w:sz w:val="20"/>
          <w:szCs w:val="20"/>
        </w:rPr>
        <w:t> § 1. Listę wybranych ławników wraz z dokumentami, o których mowa w art. 162 § 2-4, rady gmin, które dokonały ich wyboru, przesyłają prezesom właściwych sądów, najpóźniej do końca października. Spośród ławników znajdujących się na liście wybranych ławników rady gmin wskazują ławników do orzekania w sprawach z zakresu prawa pracy.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Prezes sądu wręcza ławnikom zawiadomienie o wyborze i odbiera od nich ślubowanie według roty ustalonej dla sędziów, z odpowiednią zmianą.</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Po odebraniu ślubowania prezes sądu wpisuje ławnika na listę ławników, którzy mogą być wyznaczani do orzekania, i wydaje mu legitymację.</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165.</w:t>
      </w:r>
      <w:r w:rsidRPr="00AA2DB1">
        <w:rPr>
          <w:rFonts w:ascii="A" w:hAnsi="A" w:cs="A"/>
          <w:sz w:val="20"/>
          <w:szCs w:val="20"/>
        </w:rPr>
        <w:t> § 1. Kadencja ławników sądów okręgowych i rejonowych trwa cztery lata kalendarzowe następujące po roku, w którym dokonano wyborów, jednak mandat ławnika wybranego dodatkowo wygasa z upływem kadencji ogółu ławników.</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Po upływie kadencji ławnik może brać udział jedynie w rozpoznawaniu sprawy rozpoczętej wcześniej z jego udziałem, do czasu jej zakończenia.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166.</w:t>
      </w:r>
      <w:r w:rsidRPr="00AA2DB1">
        <w:rPr>
          <w:rFonts w:ascii="A" w:hAnsi="A" w:cs="A"/>
          <w:sz w:val="20"/>
          <w:szCs w:val="20"/>
        </w:rPr>
        <w:t> § 1. Mandat ławnika wygasa w razie prawomocnego skazania za przestępstwo bądź wykroczenie, w tym również za przestępstwo lub wykroczenie skarbowe. Rada gminy, która wybrała ławnika, stwierdza wygaśnięcie mandatu z tego powodu i informuje o tym prezesa właściwego sądu.</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Rada gminy, która wybrała ławnika, może go odwołać na wniosek prezesa właściwego sądu, w razie:</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1)</w:t>
      </w:r>
      <w:r w:rsidRPr="00AA2DB1">
        <w:rPr>
          <w:rFonts w:ascii="A" w:hAnsi="A" w:cs="A"/>
          <w:sz w:val="20"/>
          <w:szCs w:val="20"/>
        </w:rPr>
        <w:tab/>
        <w:t>(uchylony)</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2)</w:t>
      </w:r>
      <w:r w:rsidRPr="00AA2DB1">
        <w:rPr>
          <w:rFonts w:ascii="A" w:hAnsi="A" w:cs="A"/>
          <w:sz w:val="20"/>
          <w:szCs w:val="20"/>
        </w:rPr>
        <w:tab/>
        <w:t>niewykonywania obowiązków ławnika;</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3)</w:t>
      </w:r>
      <w:r w:rsidRPr="00AA2DB1">
        <w:rPr>
          <w:rFonts w:ascii="A" w:hAnsi="A" w:cs="A"/>
          <w:sz w:val="20"/>
          <w:szCs w:val="20"/>
        </w:rPr>
        <w:tab/>
        <w:t>zachowania godzącego w powagę sądu;</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4)</w:t>
      </w:r>
      <w:r w:rsidRPr="00AA2DB1">
        <w:rPr>
          <w:rFonts w:ascii="A" w:hAnsi="A" w:cs="A"/>
          <w:sz w:val="20"/>
          <w:szCs w:val="20"/>
        </w:rPr>
        <w:tab/>
        <w:t>niezdolności do wykonywania obowiązków ławnika.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2a. Wniosek, o którym mowa w § 2, jest składany łącznie z opiniami właściwej rady ławniczej oraz kolegium właściwego sądu okręgowego albo z oświadczeniem prezesa właściwego sądu, że taka opinia lub takie opinie nie zostały wydane w terminie 21 dni od dnia doręczenia wniosku do zaopiniowania. W przypadku braku opinii prezes właściwego sądu przedkłada radzie gminy wraz z wnioskiem potwierdzenie jego doręczenia podmiotowi uprawnionemu do wydania opinii. Niewydanie opinii w terminie uważa się za niezgłoszenie uwag do wniosku. Przepis art. 31 § 2 stosuje się odpowiednio.</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xml:space="preserve">§ 2b. Przed podjęciem uchwały w sprawie wniosku o odwołanie ławnika przewodniczący rady gminy umożliwia wysłuchanie ławnika i jego udział w posiedzeniu właściwej komisji i w sesji rady gminy, na których </w:t>
      </w:r>
      <w:r w:rsidRPr="00AA2DB1">
        <w:rPr>
          <w:rFonts w:ascii="A" w:hAnsi="A" w:cs="A"/>
          <w:sz w:val="20"/>
          <w:szCs w:val="20"/>
        </w:rPr>
        <w:lastRenderedPageBreak/>
        <w:t>taki wniosek będzie opiniowany i rozpoznawany. O terminach posiedzenia komisji i sesji rady gminy ławnik jest powiadamiany na piśmie, co najmniej z siedmiodniowym wyprzedzeniem, w trybie i w sposób przewidziany w Kodeksie postępowania administracyjnego.</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2c. W sprawach, o których mowa w § 2b, ławnik działa osobiście, a w razie niemożności osobistego stawiennictwa może działać przez pełnomocnika.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Przed upływem kadencji mandat ławnika wygasa z dniem doręczenia mu zawiadomienia prezesa sądu o skreśleniu z listy ławników wskutek zrzeczenia się mandatu z ważnych przyczyn lub odwołania ławnika przez radę gminy.</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wzory i zestawienia</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167.</w:t>
      </w:r>
      <w:r w:rsidRPr="00AA2DB1">
        <w:rPr>
          <w:rFonts w:ascii="A" w:hAnsi="A" w:cs="A"/>
          <w:sz w:val="20"/>
          <w:szCs w:val="20"/>
        </w:rPr>
        <w:t> § 1. W czasie trwania kadencji nie powołuje się ławnika do pełnienia obowiązków w przypadku:</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1)</w:t>
      </w:r>
      <w:r w:rsidRPr="00AA2DB1">
        <w:rPr>
          <w:rFonts w:ascii="A" w:hAnsi="A" w:cs="A"/>
          <w:sz w:val="20"/>
          <w:szCs w:val="20"/>
        </w:rPr>
        <w:tab/>
        <w:t>ujawnienia okoliczności, które nie pozwalały na jego wybór;</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2)</w:t>
      </w:r>
      <w:r w:rsidRPr="00AA2DB1">
        <w:rPr>
          <w:rFonts w:ascii="A" w:hAnsi="A" w:cs="A"/>
          <w:sz w:val="20"/>
          <w:szCs w:val="20"/>
        </w:rPr>
        <w:tab/>
        <w:t>wszczęcia postępowania o odwołanie ławnika - do czasu podjęcia przez radę gminy uchwały w przedmiocie odwołania;</w:t>
      </w:r>
    </w:p>
    <w:p w:rsidR="00AA2DB1" w:rsidRPr="00AA2DB1" w:rsidRDefault="00AA2DB1" w:rsidP="00AA2DB1">
      <w:pPr>
        <w:tabs>
          <w:tab w:val="left" w:pos="408"/>
        </w:tabs>
        <w:autoSpaceDE w:val="0"/>
        <w:autoSpaceDN w:val="0"/>
        <w:adjustRightInd w:val="0"/>
        <w:spacing w:after="0" w:line="240" w:lineRule="auto"/>
        <w:ind w:left="408" w:hanging="408"/>
        <w:jc w:val="both"/>
        <w:rPr>
          <w:rFonts w:ascii="A" w:hAnsi="A" w:cs="A"/>
          <w:sz w:val="20"/>
          <w:szCs w:val="20"/>
        </w:rPr>
      </w:pPr>
      <w:r w:rsidRPr="00AA2DB1">
        <w:rPr>
          <w:rFonts w:ascii="A" w:hAnsi="A" w:cs="A"/>
          <w:sz w:val="20"/>
          <w:szCs w:val="20"/>
        </w:rPr>
        <w:t>3)</w:t>
      </w:r>
      <w:r w:rsidRPr="00AA2DB1">
        <w:rPr>
          <w:rFonts w:ascii="A" w:hAnsi="A" w:cs="A"/>
          <w:sz w:val="20"/>
          <w:szCs w:val="20"/>
        </w:rPr>
        <w:tab/>
        <w:t>wszczęcia przeciwko ławnikowi postępowania o przestępstwo ścigane z oskarżenia publicznego lub przestępstwo skarbowe - do czasu prawomocnego rozstrzygnięcia sprawy.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W razie zniesienia sądu, ośrodka zamiejscowego lub wydziału zamiejscowego - ławnicy tych jednostek stają się ławnikami sądów, które przejmują kompetencje zniesionych jednostek.</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168.</w:t>
      </w:r>
      <w:r w:rsidRPr="00AA2DB1">
        <w:rPr>
          <w:rFonts w:ascii="A" w:hAnsi="A" w:cs="A"/>
          <w:sz w:val="20"/>
          <w:szCs w:val="20"/>
        </w:rPr>
        <w:t> W razie potrzeby, zwłaszcza z powodu zmniejszenia się w czasie kadencji liczby ławników, rada gminy na wniosek prezesa sądu okręgowego dokonuje uzupełnienia listy, wybierając nowych ławników w sposób określony w ustawie.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169.</w:t>
      </w:r>
      <w:r w:rsidRPr="00AA2DB1">
        <w:rPr>
          <w:rFonts w:ascii="A" w:hAnsi="A" w:cs="A"/>
          <w:sz w:val="20"/>
          <w:szCs w:val="20"/>
        </w:rPr>
        <w:t> § 1. W zakresie orzekania ławnicy są niezawiśli i podlegają tylko Konstytucji oraz ustawom.</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Ławnik nie może przewodniczyć na rozprawie i naradzie ani też wykonywać czynności sędziego poza rozprawą, chyba że ustawy stanowią inaczej.</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Do ławników przepis art. 85 § 4 stosuje się odpowiednio.</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170.</w:t>
      </w:r>
      <w:r w:rsidRPr="00AA2DB1">
        <w:rPr>
          <w:rFonts w:ascii="A" w:hAnsi="A" w:cs="A"/>
          <w:sz w:val="20"/>
          <w:szCs w:val="20"/>
        </w:rPr>
        <w:t> § 1. Ławnik może być wyznaczony do udziału w rozprawach do dwunastu dni w ciągu roku; liczba tych dni może być zwiększona przez prezesa sądu tylko z ważnych przyczyn, a zwłaszcza w przypadku konieczności zakończenia rozprawy z udziałem tego ławnika.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(uchylony)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Wyznaczając ławnika do udziału w rozprawie, zawiadamia się o tym jednocześnie pracodawcę zatrudniającego ławnika.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171.</w:t>
      </w:r>
      <w:r w:rsidRPr="00AA2DB1">
        <w:rPr>
          <w:rFonts w:ascii="A" w:hAnsi="A" w:cs="A"/>
          <w:sz w:val="20"/>
          <w:szCs w:val="20"/>
        </w:rPr>
        <w:t> § 1. Prezes sądu może wyznaczyć ławnika dodatkowego do rozprawy, jeżeli istnieje prawdopodobieństwo, że będzie ona trwać czas dłuższy. W razie potrzeby można wyznaczyć dwóch ławników dodatkowych; w takim razie należy wskazać kolejność, w której będą oni wstępować do udziału w naradzie i głosowaniu.</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lastRenderedPageBreak/>
        <w:t>§ 2. Ławnik dodatkowy bierze udział w naradzie i głosowaniu, jeżeli jeden z ławników nie może uczestniczyć w składzie sądu.</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tezy z piśmiennictwa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172.</w:t>
      </w:r>
      <w:r w:rsidRPr="00AA2DB1">
        <w:rPr>
          <w:rFonts w:ascii="A" w:hAnsi="A" w:cs="A"/>
          <w:sz w:val="20"/>
          <w:szCs w:val="20"/>
        </w:rPr>
        <w:t> § 1. Pracodawca zatrudniający ławnika jest obowiązany zwolnić go od pracy na czas wykonywania czynności w sądzie.</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Za czas zwolnienia od pracy ławnik zachowuje prawo do świadczeń wynikających ze stosunku pracy, z wyjątkiem prawa do wynagrodzenia.</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Ławnik otrzymuje rekompensatę pieniężną za czas wykonywania czynności w sądzie, którymi są: udział w rozprawie lub posiedzeniu, uczestnictwo w naradzie nad wyrokiem, sporządzenie uzasadnienia lub uczestnictwo w posiedzeniu rady ławniczej, jeżeli został do niej wybrany.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4. Wysokość rekompensaty dla ławników biorących udział w rozpoznawaniu spraw w sądach powszechnych, za jeden dzień pełnienia obowiązków ławnika, wynosi 1,9% podstawy ustalenia wynagrodzenia zasadniczego sędziego, o której mowa w art. 91 § 1c.</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5. (uchylony)</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6. Koszty wypłaty rekompensaty, o której mowa w § 3, ponosi Skarb Państwa.</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173.</w:t>
      </w:r>
      <w:r w:rsidRPr="00AA2DB1">
        <w:rPr>
          <w:rFonts w:ascii="A" w:hAnsi="A" w:cs="A"/>
          <w:sz w:val="20"/>
          <w:szCs w:val="20"/>
        </w:rPr>
        <w:t> Ławnicy zamieszkali poza siedzibą sądu otrzymują diety oraz zwrot kosztów przejazdu i noclegu według zasad ustalonych w tym zakresie dla sędziów.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174.</w:t>
      </w:r>
      <w:r w:rsidRPr="00AA2DB1">
        <w:rPr>
          <w:rFonts w:ascii="A" w:hAnsi="A" w:cs="A"/>
          <w:sz w:val="20"/>
          <w:szCs w:val="20"/>
        </w:rPr>
        <w:t> § 1. Należności, o których mowa w art. 172 § 3 i art. 173, przyznaje prezes właściwego sądu.</w:t>
      </w:r>
    </w:p>
    <w:p w:rsidR="00AA2DB1" w:rsidRPr="00AA2DB1" w:rsidRDefault="00AA2DB1" w:rsidP="00AA2DB1">
      <w:pPr>
        <w:autoSpaceDE w:val="0"/>
        <w:autoSpaceDN w:val="0"/>
        <w:adjustRightInd w:val="0"/>
        <w:spacing w:before="240" w:after="0" w:line="240" w:lineRule="auto"/>
        <w:ind w:firstLine="431"/>
        <w:jc w:val="both"/>
        <w:rPr>
          <w:rFonts w:ascii="A" w:hAnsi="A" w:cs="A"/>
          <w:sz w:val="20"/>
          <w:szCs w:val="20"/>
        </w:rPr>
      </w:pPr>
      <w:r w:rsidRPr="00AA2DB1">
        <w:rPr>
          <w:rFonts w:ascii="A" w:hAnsi="A" w:cs="A"/>
          <w:sz w:val="20"/>
          <w:szCs w:val="20"/>
        </w:rPr>
        <w:t>§ 2. Od decyzji prezesa sądu rejonowego przysługuje odwołanie do prezesa sądu okręgowego, a gdy decyzję w pierwszej instancji wydał prezes sądu okręgowego lub prezes sądu apelacyjnego - do Ministra Sprawiedliwości.</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orzeczenia sądów</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before="240" w:after="0" w:line="240" w:lineRule="auto"/>
        <w:ind w:firstLine="432"/>
        <w:jc w:val="both"/>
        <w:rPr>
          <w:rFonts w:ascii="A" w:hAnsi="A" w:cs="A"/>
          <w:sz w:val="20"/>
          <w:szCs w:val="20"/>
        </w:rPr>
      </w:pPr>
      <w:r w:rsidRPr="00AA2DB1">
        <w:rPr>
          <w:rFonts w:ascii="A" w:hAnsi="A" w:cs="A"/>
          <w:b/>
          <w:bCs/>
          <w:sz w:val="20"/>
          <w:szCs w:val="20"/>
        </w:rPr>
        <w:t>Art. 175.</w:t>
      </w:r>
      <w:r w:rsidRPr="00AA2DB1">
        <w:rPr>
          <w:rFonts w:ascii="A" w:hAnsi="A" w:cs="A"/>
          <w:sz w:val="20"/>
          <w:szCs w:val="20"/>
        </w:rPr>
        <w:t> § 1. Ławnicy każdego sądu wybierają ze swego grona radę ławniczą, jej przewodniczącego i zastępców.</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2. Do zadań rady ławniczej należy w szczególności podnoszenie poziomu pracy ławników i ich reprezentowanie oraz pobudzanie działalności wychowawczej ławników w społeczeństwie.</w:t>
      </w:r>
    </w:p>
    <w:p w:rsidR="00AA2DB1" w:rsidRPr="00AA2DB1" w:rsidRDefault="00AA2DB1" w:rsidP="00AA2DB1">
      <w:pPr>
        <w:autoSpaceDE w:val="0"/>
        <w:autoSpaceDN w:val="0"/>
        <w:adjustRightInd w:val="0"/>
        <w:spacing w:after="0" w:line="240" w:lineRule="auto"/>
        <w:ind w:firstLine="431"/>
        <w:jc w:val="both"/>
        <w:rPr>
          <w:rFonts w:ascii="A" w:hAnsi="A" w:cs="A"/>
          <w:sz w:val="20"/>
          <w:szCs w:val="20"/>
        </w:rPr>
      </w:pPr>
      <w:r w:rsidRPr="00AA2DB1">
        <w:rPr>
          <w:rFonts w:ascii="A" w:hAnsi="A" w:cs="A"/>
          <w:sz w:val="20"/>
          <w:szCs w:val="20"/>
        </w:rPr>
        <w:t>§ 3. Minister Sprawiedliwości określi, w drodze rozporządzenia, sposób wyboru, skład i strukturę organizacyjną, tryb działania oraz szczegółowe zadania rady ławniczej, uwzględniając obligatoryjny charakter rady ławniczej jako samorządu ławniczego, reprezentującego ławników w danym sądzie, zakres współpracy z prezesem sądu, potrzebę uwzględnienia w jej strukturze przewodniczącego i zastępców oraz określenia ich zadań.</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informacje o jednostce</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 xml:space="preserve">akty wykonawcze z </w:t>
      </w:r>
      <w:proofErr w:type="spellStart"/>
      <w:r w:rsidRPr="00AA2DB1">
        <w:rPr>
          <w:rFonts w:ascii="A" w:hAnsi="A" w:cs="A"/>
          <w:sz w:val="20"/>
          <w:szCs w:val="20"/>
        </w:rPr>
        <w:t>Dz.U</w:t>
      </w:r>
      <w:proofErr w:type="spellEnd"/>
      <w:r w:rsidRPr="00AA2DB1">
        <w:rPr>
          <w:rFonts w:ascii="A" w:hAnsi="A" w:cs="A"/>
          <w:sz w:val="20"/>
          <w:szCs w:val="20"/>
        </w:rPr>
        <w:t>. i M.P.</w:t>
      </w:r>
    </w:p>
    <w:p w:rsidR="00AA2DB1" w:rsidRPr="00AA2DB1" w:rsidRDefault="00AA2DB1" w:rsidP="00AA2DB1">
      <w:pPr>
        <w:autoSpaceDE w:val="0"/>
        <w:autoSpaceDN w:val="0"/>
        <w:adjustRightInd w:val="0"/>
        <w:spacing w:after="0" w:line="240" w:lineRule="auto"/>
        <w:ind w:left="310"/>
        <w:rPr>
          <w:rFonts w:ascii="A" w:hAnsi="A" w:cs="A"/>
          <w:sz w:val="20"/>
          <w:szCs w:val="20"/>
        </w:rPr>
      </w:pPr>
      <w:r w:rsidRPr="00AA2DB1">
        <w:rPr>
          <w:rFonts w:ascii="A" w:hAnsi="A" w:cs="A"/>
          <w:sz w:val="20"/>
          <w:szCs w:val="20"/>
        </w:rPr>
        <w:t>komentarze</w:t>
      </w:r>
    </w:p>
    <w:p w:rsidR="00AA2DB1" w:rsidRPr="00AA2DB1" w:rsidRDefault="00AA2DB1" w:rsidP="00AA2DB1">
      <w:pPr>
        <w:autoSpaceDE w:val="0"/>
        <w:autoSpaceDN w:val="0"/>
        <w:adjustRightInd w:val="0"/>
        <w:spacing w:after="0" w:line="240" w:lineRule="auto"/>
        <w:rPr>
          <w:rFonts w:ascii="A" w:hAnsi="A" w:cs="A"/>
          <w:sz w:val="20"/>
          <w:szCs w:val="20"/>
        </w:rPr>
      </w:pPr>
      <w:bookmarkStart w:id="0" w:name="_GoBack"/>
      <w:bookmarkEnd w:id="0"/>
    </w:p>
    <w:p w:rsidR="008A5007" w:rsidRDefault="008A5007"/>
    <w:sectPr w:rsidR="008A5007" w:rsidSect="000F016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CD8"/>
    <w:rsid w:val="00701F02"/>
    <w:rsid w:val="008A5007"/>
    <w:rsid w:val="00AA2DB1"/>
    <w:rsid w:val="00E25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B324D-56EE-4DA6-B65F-ED0E0E14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2118</Words>
  <Characters>12709</Characters>
  <Application>Microsoft Office Word</Application>
  <DocSecurity>0</DocSecurity>
  <Lines>105</Lines>
  <Paragraphs>29</Paragraphs>
  <ScaleCrop>false</ScaleCrop>
  <Company/>
  <LinksUpToDate>false</LinksUpToDate>
  <CharactersWithSpaces>14798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2015-06-09T11:16:00Z</dcterms:created>
  <dcterms:modified xsi:type="dcterms:W3CDTF">2015-06-09T11:17:00Z</dcterms:modified>
</cp:coreProperties>
</file>